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360" w:lineRule="auto"/>
        <w:ind w:right="-21" w:rightChars="-10"/>
        <w:jc w:val="both"/>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附表</w:t>
      </w:r>
    </w:p>
    <w:p>
      <w:pPr>
        <w:spacing w:after="100" w:afterAutospacing="1" w:line="360" w:lineRule="auto"/>
        <w:ind w:right="-21" w:rightChars="-10" w:firstLine="880" w:firstLineChars="200"/>
        <w:jc w:val="center"/>
        <w:rPr>
          <w:rFonts w:hint="eastAsia" w:ascii="方正小标宋简体" w:hAnsi="方正小标宋简体" w:eastAsia="方正小标宋简体" w:cs="方正小标宋简体"/>
          <w:b/>
          <w:color w:val="auto"/>
          <w:sz w:val="44"/>
          <w:szCs w:val="44"/>
          <w:highlight w:val="none"/>
        </w:rPr>
      </w:pPr>
      <w:bookmarkStart w:id="0" w:name="_GoBack"/>
      <w:r>
        <w:rPr>
          <w:rFonts w:hint="eastAsia" w:ascii="方正小标宋简体" w:hAnsi="方正小标宋简体" w:eastAsia="方正小标宋简体" w:cs="方正小标宋简体"/>
          <w:b w:val="0"/>
          <w:bCs w:val="0"/>
          <w:sz w:val="44"/>
          <w:szCs w:val="44"/>
          <w:lang w:eastAsia="zh-CN"/>
        </w:rPr>
        <w:t>固定资产管理</w:t>
      </w:r>
      <w:r>
        <w:rPr>
          <w:rFonts w:hint="eastAsia" w:ascii="方正小标宋简体" w:hAnsi="方正小标宋简体" w:eastAsia="方正小标宋简体" w:cs="方正小标宋简体"/>
          <w:b w:val="0"/>
          <w:bCs w:val="0"/>
          <w:color w:val="auto"/>
          <w:sz w:val="44"/>
          <w:szCs w:val="44"/>
          <w:highlight w:val="none"/>
        </w:rPr>
        <w:t>服务项目表</w:t>
      </w:r>
      <w:bookmarkEnd w:id="0"/>
    </w:p>
    <w:tbl>
      <w:tblPr>
        <w:tblStyle w:val="4"/>
        <w:tblW w:w="9680"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858"/>
        <w:gridCol w:w="1950"/>
        <w:gridCol w:w="4568"/>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50" w:hRule="atLeast"/>
          <w:tblCellSpacing w:w="7" w:type="dxa"/>
          <w:jc w:val="center"/>
        </w:trPr>
        <w:tc>
          <w:tcPr>
            <w:tcW w:w="837" w:type="dxa"/>
            <w:shd w:val="clear" w:color="auto" w:fill="CCCCCC"/>
            <w:noWrap w:val="0"/>
            <w:vAlign w:val="center"/>
          </w:tcPr>
          <w:p>
            <w:pPr>
              <w:widowControl/>
              <w:spacing w:before="100" w:beforeAutospacing="1" w:after="100" w:afterAutospacing="1" w:line="285" w:lineRule="atLeast"/>
              <w:jc w:val="center"/>
              <w:rPr>
                <w:rFonts w:ascii="宋体" w:hAnsi="宋体" w:cs="宋体"/>
                <w:color w:val="auto"/>
                <w:kern w:val="0"/>
                <w:sz w:val="24"/>
                <w:highlight w:val="none"/>
              </w:rPr>
            </w:pPr>
            <w:r>
              <w:rPr>
                <w:rFonts w:hint="eastAsia" w:ascii="宋体" w:hAnsi="宋体" w:cs="宋体"/>
                <w:b/>
                <w:bCs/>
                <w:color w:val="auto"/>
                <w:kern w:val="0"/>
                <w:sz w:val="24"/>
                <w:highlight w:val="none"/>
                <w:lang w:eastAsia="zh-CN"/>
              </w:rPr>
              <w:t>序</w:t>
            </w:r>
            <w:r>
              <w:rPr>
                <w:rFonts w:hint="eastAsia" w:ascii="宋体" w:hAnsi="宋体" w:cs="宋体"/>
                <w:b/>
                <w:bCs/>
                <w:color w:val="auto"/>
                <w:kern w:val="0"/>
                <w:sz w:val="24"/>
                <w:highlight w:val="none"/>
              </w:rPr>
              <w:t>号</w:t>
            </w:r>
          </w:p>
        </w:tc>
        <w:tc>
          <w:tcPr>
            <w:tcW w:w="1936" w:type="dxa"/>
            <w:shd w:val="clear" w:color="auto" w:fill="CCCCCC"/>
            <w:noWrap w:val="0"/>
            <w:vAlign w:val="center"/>
          </w:tcPr>
          <w:p>
            <w:pPr>
              <w:widowControl/>
              <w:spacing w:before="100" w:beforeAutospacing="1" w:after="100" w:afterAutospacing="1" w:line="285" w:lineRule="atLeast"/>
              <w:jc w:val="center"/>
              <w:rPr>
                <w:rFonts w:ascii="宋体" w:hAnsi="宋体" w:cs="宋体"/>
                <w:color w:val="auto"/>
                <w:kern w:val="0"/>
                <w:sz w:val="24"/>
                <w:highlight w:val="none"/>
              </w:rPr>
            </w:pPr>
            <w:r>
              <w:rPr>
                <w:rFonts w:hint="eastAsia" w:ascii="宋体" w:hAnsi="宋体" w:cs="宋体"/>
                <w:b/>
                <w:bCs/>
                <w:color w:val="auto"/>
                <w:kern w:val="0"/>
                <w:sz w:val="24"/>
                <w:highlight w:val="none"/>
              </w:rPr>
              <w:t>服务项目</w:t>
            </w:r>
          </w:p>
        </w:tc>
        <w:tc>
          <w:tcPr>
            <w:tcW w:w="4554" w:type="dxa"/>
            <w:shd w:val="clear" w:color="auto" w:fill="CCCCCC"/>
            <w:noWrap w:val="0"/>
            <w:vAlign w:val="center"/>
          </w:tcPr>
          <w:p>
            <w:pPr>
              <w:widowControl/>
              <w:spacing w:before="100" w:beforeAutospacing="1" w:after="100" w:afterAutospacing="1" w:line="285" w:lineRule="atLeast"/>
              <w:ind w:right="-204" w:rightChars="-97"/>
              <w:jc w:val="center"/>
              <w:rPr>
                <w:rFonts w:ascii="宋体" w:hAnsi="宋体" w:cs="宋体"/>
                <w:color w:val="auto"/>
                <w:kern w:val="0"/>
                <w:sz w:val="24"/>
                <w:highlight w:val="none"/>
              </w:rPr>
            </w:pPr>
            <w:r>
              <w:rPr>
                <w:rFonts w:hint="eastAsia" w:ascii="宋体" w:hAnsi="宋体" w:cs="宋体"/>
                <w:b/>
                <w:bCs/>
                <w:color w:val="auto"/>
                <w:kern w:val="0"/>
                <w:sz w:val="24"/>
                <w:highlight w:val="none"/>
              </w:rPr>
              <w:t>服务内容</w:t>
            </w:r>
          </w:p>
        </w:tc>
        <w:tc>
          <w:tcPr>
            <w:tcW w:w="2283" w:type="dxa"/>
            <w:shd w:val="clear" w:color="auto" w:fill="CCCCCC"/>
            <w:noWrap w:val="0"/>
            <w:vAlign w:val="center"/>
          </w:tcPr>
          <w:p>
            <w:pPr>
              <w:widowControl/>
              <w:spacing w:before="100" w:beforeAutospacing="1" w:after="100" w:afterAutospacing="1" w:line="285" w:lineRule="atLeast"/>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54" w:hRule="atLeast"/>
          <w:tblCellSpacing w:w="7" w:type="dxa"/>
          <w:jc w:val="center"/>
        </w:trPr>
        <w:tc>
          <w:tcPr>
            <w:tcW w:w="837" w:type="dxa"/>
            <w:shd w:val="clear" w:color="auto" w:fill="FFFFFF"/>
            <w:noWrap w:val="0"/>
            <w:vAlign w:val="center"/>
          </w:tcPr>
          <w:p>
            <w:pPr>
              <w:widowControl/>
              <w:spacing w:before="100" w:beforeAutospacing="1" w:after="100" w:afterAutospacing="1" w:line="285"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36" w:type="dxa"/>
            <w:shd w:val="clear" w:color="auto" w:fill="FFFFFF"/>
            <w:noWrap w:val="0"/>
            <w:vAlign w:val="center"/>
          </w:tcPr>
          <w:p>
            <w:pPr>
              <w:widowControl/>
              <w:spacing w:before="100" w:beforeAutospacing="1" w:after="100" w:afterAutospacing="1" w:line="285"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数据录入</w:t>
            </w:r>
          </w:p>
        </w:tc>
        <w:tc>
          <w:tcPr>
            <w:tcW w:w="4554" w:type="dxa"/>
            <w:shd w:val="clear" w:color="auto" w:fill="FFFFFF"/>
            <w:noWrap w:val="0"/>
            <w:vAlign w:val="center"/>
          </w:tcPr>
          <w:p>
            <w:pPr>
              <w:widowControl/>
              <w:spacing w:before="100" w:beforeAutospacing="1" w:after="100" w:afterAutospacing="1" w:line="285"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rPr>
              <w:t>年</w:t>
            </w:r>
            <w:r>
              <w:rPr>
                <w:rFonts w:hint="eastAsia" w:ascii="宋体" w:hAnsi="宋体" w:cs="宋体"/>
                <w:color w:val="auto"/>
                <w:kern w:val="0"/>
                <w:szCs w:val="21"/>
                <w:highlight w:val="none"/>
                <w:lang w:eastAsia="zh-CN"/>
              </w:rPr>
              <w:t>度</w:t>
            </w:r>
            <w:r>
              <w:rPr>
                <w:rFonts w:hint="eastAsia" w:ascii="宋体" w:hAnsi="宋体" w:cs="宋体"/>
                <w:color w:val="auto"/>
                <w:kern w:val="0"/>
                <w:szCs w:val="21"/>
                <w:highlight w:val="none"/>
              </w:rPr>
              <w:t>新购置固定资产数据录入省财厅固定资产管理系统。</w:t>
            </w:r>
          </w:p>
        </w:tc>
        <w:tc>
          <w:tcPr>
            <w:tcW w:w="2283" w:type="dxa"/>
            <w:shd w:val="clear" w:color="auto" w:fill="FFFFFF"/>
            <w:noWrap w:val="0"/>
            <w:vAlign w:val="top"/>
          </w:tcPr>
          <w:p>
            <w:pPr>
              <w:jc w:val="center"/>
              <w:rPr>
                <w:rFonts w:hint="eastAsia" w:ascii="宋体" w:hAnsi="宋体" w:eastAsia="宋体"/>
                <w:color w:val="auto"/>
                <w:kern w:val="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84" w:hRule="atLeast"/>
          <w:tblCellSpacing w:w="7" w:type="dxa"/>
          <w:jc w:val="center"/>
        </w:trPr>
        <w:tc>
          <w:tcPr>
            <w:tcW w:w="837" w:type="dxa"/>
            <w:shd w:val="clear" w:color="auto" w:fill="FFFFFF"/>
            <w:noWrap w:val="0"/>
            <w:vAlign w:val="center"/>
          </w:tcPr>
          <w:p>
            <w:pPr>
              <w:widowControl/>
              <w:spacing w:before="100" w:beforeAutospacing="1" w:after="100" w:afterAutospacing="1" w:line="285"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936" w:type="dxa"/>
            <w:shd w:val="clear" w:color="auto" w:fill="FFFFFF"/>
            <w:noWrap w:val="0"/>
            <w:vAlign w:val="center"/>
          </w:tcPr>
          <w:p>
            <w:pPr>
              <w:widowControl/>
              <w:spacing w:before="100" w:beforeAutospacing="1" w:after="100" w:afterAutospacing="1" w:line="285"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资产领用手续</w:t>
            </w:r>
          </w:p>
        </w:tc>
        <w:tc>
          <w:tcPr>
            <w:tcW w:w="4554" w:type="dxa"/>
            <w:shd w:val="clear" w:color="auto" w:fill="FFFFFF"/>
            <w:noWrap w:val="0"/>
            <w:vAlign w:val="center"/>
          </w:tcPr>
          <w:p>
            <w:pPr>
              <w:widowControl/>
              <w:spacing w:before="100" w:beforeAutospacing="1" w:after="100" w:afterAutospacing="1" w:line="285" w:lineRule="atLeast"/>
              <w:rPr>
                <w:rFonts w:ascii="宋体" w:hAnsi="宋体" w:cs="宋体"/>
                <w:color w:val="auto"/>
                <w:kern w:val="0"/>
                <w:szCs w:val="21"/>
                <w:highlight w:val="none"/>
              </w:rPr>
            </w:pPr>
            <w:r>
              <w:rPr>
                <w:rFonts w:hint="eastAsia" w:ascii="宋体" w:hAnsi="宋体" w:cs="宋体"/>
                <w:color w:val="auto"/>
                <w:kern w:val="0"/>
                <w:szCs w:val="21"/>
                <w:highlight w:val="none"/>
              </w:rPr>
              <w:t>新购置固定资产及调配领用单数据录入。</w:t>
            </w:r>
          </w:p>
        </w:tc>
        <w:tc>
          <w:tcPr>
            <w:tcW w:w="2283" w:type="dxa"/>
            <w:shd w:val="clear" w:color="auto" w:fill="FFFFFF"/>
            <w:noWrap w:val="0"/>
            <w:vAlign w:val="top"/>
          </w:tcPr>
          <w:p>
            <w:pPr>
              <w:widowControl/>
              <w:spacing w:before="100" w:beforeAutospacing="1" w:after="100" w:afterAutospacing="1" w:line="285" w:lineRule="atLeast"/>
              <w:jc w:val="left"/>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58" w:hRule="atLeast"/>
          <w:tblCellSpacing w:w="7" w:type="dxa"/>
          <w:jc w:val="center"/>
        </w:trPr>
        <w:tc>
          <w:tcPr>
            <w:tcW w:w="837" w:type="dxa"/>
            <w:shd w:val="clear" w:color="auto" w:fill="FFFFFF"/>
            <w:noWrap w:val="0"/>
            <w:vAlign w:val="center"/>
          </w:tcPr>
          <w:p>
            <w:pPr>
              <w:widowControl/>
              <w:spacing w:before="100" w:beforeAutospacing="1" w:after="100" w:afterAutospacing="1" w:line="285"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936" w:type="dxa"/>
            <w:shd w:val="clear" w:color="auto" w:fill="FFFFFF"/>
            <w:noWrap w:val="0"/>
            <w:vAlign w:val="center"/>
          </w:tcPr>
          <w:p>
            <w:pPr>
              <w:widowControl/>
              <w:spacing w:before="100" w:beforeAutospacing="1" w:after="100" w:afterAutospacing="1" w:line="285"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粘贴标签</w:t>
            </w:r>
          </w:p>
        </w:tc>
        <w:tc>
          <w:tcPr>
            <w:tcW w:w="4554" w:type="dxa"/>
            <w:shd w:val="clear" w:color="auto" w:fill="FFFFFF"/>
            <w:noWrap w:val="0"/>
            <w:vAlign w:val="center"/>
          </w:tcPr>
          <w:p>
            <w:pPr>
              <w:widowControl/>
              <w:spacing w:before="100" w:beforeAutospacing="1" w:after="100" w:afterAutospacing="1" w:line="285" w:lineRule="atLeas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新增及因调剂变更使用信息的固定资产</w:t>
            </w:r>
            <w:r>
              <w:rPr>
                <w:rFonts w:hint="eastAsia" w:ascii="宋体" w:hAnsi="宋体" w:cs="宋体"/>
                <w:color w:val="auto"/>
                <w:kern w:val="0"/>
                <w:szCs w:val="21"/>
                <w:highlight w:val="none"/>
                <w:lang w:eastAsia="zh-CN"/>
              </w:rPr>
              <w:t>打印并粘贴标签。</w:t>
            </w:r>
          </w:p>
        </w:tc>
        <w:tc>
          <w:tcPr>
            <w:tcW w:w="2283" w:type="dxa"/>
            <w:shd w:val="clear" w:color="auto" w:fill="FFFFFF"/>
            <w:noWrap w:val="0"/>
            <w:vAlign w:val="top"/>
          </w:tcPr>
          <w:p>
            <w:pPr>
              <w:jc w:val="left"/>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09" w:hRule="atLeast"/>
          <w:tblCellSpacing w:w="7" w:type="dxa"/>
          <w:jc w:val="center"/>
        </w:trPr>
        <w:tc>
          <w:tcPr>
            <w:tcW w:w="837" w:type="dxa"/>
            <w:shd w:val="clear" w:color="auto" w:fill="FFFFFF"/>
            <w:noWrap w:val="0"/>
            <w:vAlign w:val="center"/>
          </w:tcPr>
          <w:p>
            <w:pPr>
              <w:widowControl/>
              <w:spacing w:before="100" w:beforeAutospacing="1" w:after="100" w:afterAutospacing="1" w:line="285"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936" w:type="dxa"/>
            <w:shd w:val="clear" w:color="auto" w:fill="FFFFFF"/>
            <w:noWrap w:val="0"/>
            <w:vAlign w:val="center"/>
          </w:tcPr>
          <w:p>
            <w:pPr>
              <w:widowControl/>
              <w:spacing w:before="100" w:beforeAutospacing="1" w:after="100" w:afterAutospacing="1" w:line="285"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资产归还手续</w:t>
            </w:r>
          </w:p>
        </w:tc>
        <w:tc>
          <w:tcPr>
            <w:tcW w:w="4554" w:type="dxa"/>
            <w:shd w:val="clear" w:color="auto" w:fill="FFFFFF"/>
            <w:noWrap w:val="0"/>
            <w:vAlign w:val="center"/>
          </w:tcPr>
          <w:p>
            <w:pPr>
              <w:widowControl/>
              <w:spacing w:before="100" w:beforeAutospacing="1" w:after="100" w:afterAutospacing="1" w:line="285"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rPr>
              <w:t>变动的固定资产的</w:t>
            </w:r>
            <w:r>
              <w:rPr>
                <w:rFonts w:hint="eastAsia" w:ascii="宋体" w:hAnsi="宋体" w:cs="宋体"/>
                <w:color w:val="auto"/>
                <w:kern w:val="0"/>
                <w:szCs w:val="21"/>
                <w:highlight w:val="none"/>
                <w:lang w:eastAsia="zh-CN"/>
              </w:rPr>
              <w:t>归还</w:t>
            </w:r>
            <w:r>
              <w:rPr>
                <w:rFonts w:hint="eastAsia" w:ascii="宋体" w:hAnsi="宋体" w:cs="宋体"/>
                <w:color w:val="auto"/>
                <w:kern w:val="0"/>
                <w:szCs w:val="21"/>
                <w:highlight w:val="none"/>
              </w:rPr>
              <w:t>，办理资产归还手续。</w:t>
            </w:r>
          </w:p>
        </w:tc>
        <w:tc>
          <w:tcPr>
            <w:tcW w:w="2283" w:type="dxa"/>
            <w:shd w:val="clear" w:color="auto" w:fill="FFFFFF"/>
            <w:noWrap w:val="0"/>
            <w:vAlign w:val="top"/>
          </w:tcPr>
          <w:p>
            <w:pPr>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684" w:hRule="atLeast"/>
          <w:tblCellSpacing w:w="7" w:type="dxa"/>
          <w:jc w:val="center"/>
        </w:trPr>
        <w:tc>
          <w:tcPr>
            <w:tcW w:w="837" w:type="dxa"/>
            <w:shd w:val="clear" w:color="auto" w:fill="FFFFFF"/>
            <w:noWrap w:val="0"/>
            <w:vAlign w:val="center"/>
          </w:tcPr>
          <w:p>
            <w:pPr>
              <w:widowControl/>
              <w:spacing w:before="100" w:beforeAutospacing="1" w:after="100" w:afterAutospacing="1" w:line="285"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936" w:type="dxa"/>
            <w:shd w:val="clear" w:color="auto" w:fill="FFFFFF"/>
            <w:noWrap w:val="0"/>
            <w:vAlign w:val="center"/>
          </w:tcPr>
          <w:p>
            <w:pPr>
              <w:widowControl/>
              <w:spacing w:before="100" w:beforeAutospacing="1" w:after="100" w:afterAutospacing="1" w:line="285"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财务对数</w:t>
            </w:r>
          </w:p>
        </w:tc>
        <w:tc>
          <w:tcPr>
            <w:tcW w:w="4554" w:type="dxa"/>
            <w:shd w:val="clear" w:color="auto" w:fill="FFFFFF"/>
            <w:noWrap w:val="0"/>
            <w:vAlign w:val="center"/>
          </w:tcPr>
          <w:p>
            <w:pPr>
              <w:widowControl/>
              <w:spacing w:before="100" w:beforeAutospacing="1" w:after="100" w:afterAutospacing="1" w:line="285"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rPr>
              <w:t>每个月资产实物账与财务固定资产账对数。</w:t>
            </w:r>
          </w:p>
        </w:tc>
        <w:tc>
          <w:tcPr>
            <w:tcW w:w="2283" w:type="dxa"/>
            <w:shd w:val="clear" w:color="auto" w:fill="FFFFFF"/>
            <w:noWrap w:val="0"/>
            <w:vAlign w:val="top"/>
          </w:tcPr>
          <w:p>
            <w:pPr>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24" w:hRule="atLeast"/>
          <w:tblCellSpacing w:w="7" w:type="dxa"/>
          <w:jc w:val="center"/>
        </w:trPr>
        <w:tc>
          <w:tcPr>
            <w:tcW w:w="837" w:type="dxa"/>
            <w:shd w:val="clear" w:color="auto" w:fill="FFFFFF"/>
            <w:noWrap w:val="0"/>
            <w:vAlign w:val="center"/>
          </w:tcPr>
          <w:p>
            <w:pPr>
              <w:widowControl/>
              <w:spacing w:before="100" w:beforeAutospacing="1" w:after="100" w:afterAutospacing="1" w:line="285"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936" w:type="dxa"/>
            <w:shd w:val="clear" w:color="auto" w:fill="FFFFFF"/>
            <w:noWrap w:val="0"/>
            <w:vAlign w:val="center"/>
          </w:tcPr>
          <w:p>
            <w:pPr>
              <w:widowControl/>
              <w:spacing w:before="100" w:beforeAutospacing="1" w:after="100" w:afterAutospacing="1" w:line="285"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软件维护</w:t>
            </w:r>
          </w:p>
        </w:tc>
        <w:tc>
          <w:tcPr>
            <w:tcW w:w="4554" w:type="dxa"/>
            <w:shd w:val="clear" w:color="auto" w:fill="FFFFFF"/>
            <w:noWrap w:val="0"/>
            <w:vAlign w:val="center"/>
          </w:tcPr>
          <w:p>
            <w:pPr>
              <w:widowControl/>
              <w:spacing w:before="100" w:beforeAutospacing="1" w:after="100" w:afterAutospacing="1" w:line="285"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rPr>
              <w:t>对省财厅固定资产管理系统出现的问题与财厅相关技术人员进行沟通、解决。</w:t>
            </w:r>
          </w:p>
        </w:tc>
        <w:tc>
          <w:tcPr>
            <w:tcW w:w="2283" w:type="dxa"/>
            <w:shd w:val="clear" w:color="auto" w:fill="FFFFFF"/>
            <w:noWrap w:val="0"/>
            <w:vAlign w:val="top"/>
          </w:tcPr>
          <w:p>
            <w:pPr>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74" w:hRule="atLeast"/>
          <w:tblCellSpacing w:w="7" w:type="dxa"/>
          <w:jc w:val="center"/>
        </w:trPr>
        <w:tc>
          <w:tcPr>
            <w:tcW w:w="837" w:type="dxa"/>
            <w:shd w:val="clear" w:color="auto" w:fill="FFFFFF"/>
            <w:noWrap w:val="0"/>
            <w:vAlign w:val="center"/>
          </w:tcPr>
          <w:p>
            <w:pPr>
              <w:widowControl/>
              <w:spacing w:before="100" w:beforeAutospacing="1" w:after="100" w:afterAutospacing="1" w:line="285"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1936" w:type="dxa"/>
            <w:shd w:val="clear" w:color="auto" w:fill="FFFFFF"/>
            <w:noWrap w:val="0"/>
            <w:vAlign w:val="center"/>
          </w:tcPr>
          <w:p>
            <w:pPr>
              <w:widowControl/>
              <w:spacing w:before="100" w:beforeAutospacing="1" w:after="100" w:afterAutospacing="1" w:line="285"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数据统计</w:t>
            </w:r>
          </w:p>
        </w:tc>
        <w:tc>
          <w:tcPr>
            <w:tcW w:w="4554" w:type="dxa"/>
            <w:shd w:val="clear" w:color="auto" w:fill="FFFFFF"/>
            <w:noWrap w:val="0"/>
            <w:vAlign w:val="center"/>
          </w:tcPr>
          <w:p>
            <w:pPr>
              <w:widowControl/>
              <w:spacing w:before="100" w:beforeAutospacing="1" w:after="100" w:afterAutospacing="1" w:line="285"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根据甲方需求，实时提供</w:t>
            </w:r>
            <w:r>
              <w:rPr>
                <w:rFonts w:hint="eastAsia" w:ascii="宋体" w:hAnsi="宋体" w:cs="宋体"/>
                <w:color w:val="auto"/>
                <w:kern w:val="0"/>
                <w:szCs w:val="21"/>
                <w:highlight w:val="none"/>
              </w:rPr>
              <w:t>统计资产构成情况。</w:t>
            </w:r>
          </w:p>
        </w:tc>
        <w:tc>
          <w:tcPr>
            <w:tcW w:w="2283" w:type="dxa"/>
            <w:shd w:val="clear" w:color="auto" w:fill="FFFFFF"/>
            <w:noWrap w:val="0"/>
            <w:vAlign w:val="top"/>
          </w:tcPr>
          <w:p>
            <w:pPr>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57" w:hRule="atLeast"/>
          <w:tblCellSpacing w:w="7" w:type="dxa"/>
          <w:jc w:val="center"/>
        </w:trPr>
        <w:tc>
          <w:tcPr>
            <w:tcW w:w="837" w:type="dxa"/>
            <w:shd w:val="clear" w:color="auto" w:fill="FFFFFF"/>
            <w:noWrap w:val="0"/>
            <w:vAlign w:val="center"/>
          </w:tcPr>
          <w:p>
            <w:pPr>
              <w:widowControl/>
              <w:spacing w:before="100" w:beforeAutospacing="1" w:after="100" w:afterAutospacing="1" w:line="285"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1936" w:type="dxa"/>
            <w:shd w:val="clear" w:color="auto" w:fill="FFFFFF"/>
            <w:noWrap w:val="0"/>
            <w:vAlign w:val="center"/>
          </w:tcPr>
          <w:p>
            <w:pPr>
              <w:widowControl/>
              <w:spacing w:before="100" w:beforeAutospacing="1" w:after="100" w:afterAutospacing="1" w:line="285"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提供审计数据</w:t>
            </w:r>
          </w:p>
        </w:tc>
        <w:tc>
          <w:tcPr>
            <w:tcW w:w="4554" w:type="dxa"/>
            <w:shd w:val="clear" w:color="auto" w:fill="FFFFFF"/>
            <w:noWrap w:val="0"/>
            <w:vAlign w:val="center"/>
          </w:tcPr>
          <w:p>
            <w:pPr>
              <w:widowControl/>
              <w:spacing w:before="100" w:beforeAutospacing="1" w:after="100" w:afterAutospacing="1" w:line="285"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rPr>
              <w:t>年</w:t>
            </w:r>
            <w:r>
              <w:rPr>
                <w:rFonts w:hint="eastAsia" w:ascii="宋体" w:hAnsi="宋体" w:cs="宋体"/>
                <w:color w:val="auto"/>
                <w:kern w:val="0"/>
                <w:szCs w:val="21"/>
                <w:highlight w:val="none"/>
                <w:lang w:eastAsia="zh-CN"/>
              </w:rPr>
              <w:t>度</w:t>
            </w:r>
            <w:r>
              <w:rPr>
                <w:rFonts w:hint="eastAsia" w:ascii="宋体" w:hAnsi="宋体" w:cs="宋体"/>
                <w:color w:val="auto"/>
                <w:kern w:val="0"/>
                <w:szCs w:val="21"/>
                <w:highlight w:val="none"/>
              </w:rPr>
              <w:t>进行的审计、汇算清缴协助提供固定资产台账、详细列表</w:t>
            </w:r>
            <w:r>
              <w:rPr>
                <w:rFonts w:hint="eastAsia" w:ascii="宋体" w:hAnsi="宋体" w:cs="宋体"/>
                <w:color w:val="auto"/>
                <w:kern w:val="0"/>
                <w:szCs w:val="21"/>
                <w:highlight w:val="none"/>
                <w:lang w:eastAsia="zh-CN"/>
              </w:rPr>
              <w:t>等</w:t>
            </w:r>
            <w:r>
              <w:rPr>
                <w:rFonts w:hint="eastAsia" w:ascii="宋体" w:hAnsi="宋体" w:cs="宋体"/>
                <w:color w:val="auto"/>
                <w:kern w:val="0"/>
                <w:szCs w:val="21"/>
                <w:highlight w:val="none"/>
              </w:rPr>
              <w:t>。</w:t>
            </w:r>
          </w:p>
        </w:tc>
        <w:tc>
          <w:tcPr>
            <w:tcW w:w="2283" w:type="dxa"/>
            <w:shd w:val="clear" w:color="auto" w:fill="FFFFFF"/>
            <w:noWrap w:val="0"/>
            <w:vAlign w:val="top"/>
          </w:tcPr>
          <w:p>
            <w:pPr>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22" w:hRule="atLeast"/>
          <w:tblCellSpacing w:w="7" w:type="dxa"/>
          <w:jc w:val="center"/>
        </w:trPr>
        <w:tc>
          <w:tcPr>
            <w:tcW w:w="837" w:type="dxa"/>
            <w:shd w:val="clear" w:color="auto" w:fill="FFFFFF"/>
            <w:noWrap w:val="0"/>
            <w:vAlign w:val="center"/>
          </w:tcPr>
          <w:p>
            <w:pPr>
              <w:widowControl/>
              <w:spacing w:before="100" w:beforeAutospacing="1" w:after="100" w:afterAutospacing="1" w:line="285"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936" w:type="dxa"/>
            <w:shd w:val="clear" w:color="auto" w:fill="FFFFFF"/>
            <w:noWrap w:val="0"/>
            <w:vAlign w:val="center"/>
          </w:tcPr>
          <w:p>
            <w:pPr>
              <w:widowControl/>
              <w:spacing w:before="100" w:beforeAutospacing="1" w:after="100" w:afterAutospacing="1" w:line="285"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固定资产处置</w:t>
            </w:r>
          </w:p>
        </w:tc>
        <w:tc>
          <w:tcPr>
            <w:tcW w:w="4554" w:type="dxa"/>
            <w:shd w:val="clear" w:color="auto" w:fill="FFFFFF"/>
            <w:noWrap w:val="0"/>
            <w:vAlign w:val="center"/>
          </w:tcPr>
          <w:p>
            <w:pPr>
              <w:widowControl/>
              <w:spacing w:before="100" w:beforeAutospacing="1" w:after="100" w:afterAutospacing="1" w:line="285"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rPr>
              <w:t>根据</w:t>
            </w:r>
            <w:r>
              <w:rPr>
                <w:rFonts w:hint="eastAsia" w:ascii="宋体" w:hAnsi="宋体" w:cs="宋体"/>
                <w:color w:val="auto"/>
                <w:kern w:val="0"/>
                <w:szCs w:val="21"/>
                <w:highlight w:val="none"/>
                <w:lang w:eastAsia="zh-CN"/>
              </w:rPr>
              <w:t>相关规定</w:t>
            </w:r>
            <w:r>
              <w:rPr>
                <w:rFonts w:hint="eastAsia" w:ascii="宋体" w:hAnsi="宋体" w:cs="宋体"/>
                <w:color w:val="auto"/>
                <w:kern w:val="0"/>
                <w:szCs w:val="21"/>
                <w:highlight w:val="none"/>
              </w:rPr>
              <w:t>，做好固定资产报废</w:t>
            </w:r>
            <w:r>
              <w:rPr>
                <w:rFonts w:hint="eastAsia" w:ascii="宋体" w:hAnsi="宋体" w:cs="宋体"/>
                <w:color w:val="auto"/>
                <w:kern w:val="0"/>
                <w:szCs w:val="21"/>
                <w:highlight w:val="none"/>
                <w:lang w:eastAsia="zh-CN"/>
              </w:rPr>
              <w:t>、调出等处置</w:t>
            </w:r>
            <w:r>
              <w:rPr>
                <w:rFonts w:hint="eastAsia" w:ascii="宋体" w:hAnsi="宋体" w:cs="宋体"/>
                <w:color w:val="auto"/>
                <w:kern w:val="0"/>
                <w:szCs w:val="21"/>
                <w:highlight w:val="none"/>
              </w:rPr>
              <w:t>手续。</w:t>
            </w:r>
          </w:p>
        </w:tc>
        <w:tc>
          <w:tcPr>
            <w:tcW w:w="2283" w:type="dxa"/>
            <w:shd w:val="clear" w:color="auto" w:fill="FFFFFF"/>
            <w:noWrap w:val="0"/>
            <w:vAlign w:val="top"/>
          </w:tcPr>
          <w:p>
            <w:pPr>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637" w:hRule="atLeast"/>
          <w:tblCellSpacing w:w="7" w:type="dxa"/>
          <w:jc w:val="center"/>
        </w:trPr>
        <w:tc>
          <w:tcPr>
            <w:tcW w:w="837" w:type="dxa"/>
            <w:shd w:val="clear" w:color="auto" w:fill="FFFFFF"/>
            <w:noWrap w:val="0"/>
            <w:vAlign w:val="center"/>
          </w:tcPr>
          <w:p>
            <w:pPr>
              <w:widowControl/>
              <w:spacing w:before="100" w:beforeAutospacing="1" w:after="100" w:afterAutospacing="1" w:line="285"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1936" w:type="dxa"/>
            <w:shd w:val="clear" w:color="auto" w:fill="FFFFFF"/>
            <w:noWrap w:val="0"/>
            <w:vAlign w:val="center"/>
          </w:tcPr>
          <w:p>
            <w:pPr>
              <w:widowControl/>
              <w:spacing w:before="100" w:beforeAutospacing="1" w:after="100" w:afterAutospacing="1" w:line="285"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产权登记录入</w:t>
            </w:r>
          </w:p>
        </w:tc>
        <w:tc>
          <w:tcPr>
            <w:tcW w:w="4554" w:type="dxa"/>
            <w:shd w:val="clear" w:color="auto" w:fill="FFFFFF"/>
            <w:noWrap w:val="0"/>
            <w:vAlign w:val="center"/>
          </w:tcPr>
          <w:p>
            <w:pPr>
              <w:widowControl/>
              <w:spacing w:before="100" w:beforeAutospacing="1" w:after="100" w:afterAutospacing="1" w:line="285" w:lineRule="atLeas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在财厅资产管理系统中办理产权登记工作，协助做好因产权登记的固定资产审计工作</w:t>
            </w:r>
            <w:r>
              <w:rPr>
                <w:rFonts w:hint="eastAsia" w:ascii="宋体" w:hAnsi="宋体" w:cs="宋体"/>
                <w:color w:val="auto"/>
                <w:kern w:val="0"/>
                <w:szCs w:val="21"/>
                <w:highlight w:val="none"/>
                <w:lang w:eastAsia="zh-CN"/>
              </w:rPr>
              <w:t>。</w:t>
            </w:r>
          </w:p>
        </w:tc>
        <w:tc>
          <w:tcPr>
            <w:tcW w:w="2283" w:type="dxa"/>
            <w:shd w:val="clear" w:color="auto" w:fill="FFFFFF"/>
            <w:noWrap w:val="0"/>
            <w:vAlign w:val="top"/>
          </w:tcPr>
          <w:p>
            <w:pPr>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637" w:hRule="atLeast"/>
          <w:tblCellSpacing w:w="7" w:type="dxa"/>
          <w:jc w:val="center"/>
        </w:trPr>
        <w:tc>
          <w:tcPr>
            <w:tcW w:w="837" w:type="dxa"/>
            <w:shd w:val="clear" w:color="auto" w:fill="FFFFFF"/>
            <w:noWrap w:val="0"/>
            <w:vAlign w:val="center"/>
          </w:tcPr>
          <w:p>
            <w:pPr>
              <w:widowControl/>
              <w:spacing w:before="100" w:beforeAutospacing="1" w:after="100" w:afterAutospacing="1" w:line="285"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1936" w:type="dxa"/>
            <w:shd w:val="clear" w:color="auto" w:fill="FFFFFF"/>
            <w:noWrap w:val="0"/>
            <w:vAlign w:val="center"/>
          </w:tcPr>
          <w:p>
            <w:pPr>
              <w:widowControl/>
              <w:spacing w:before="100" w:beforeAutospacing="1" w:after="100" w:afterAutospacing="1" w:line="285"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资产统计报表</w:t>
            </w:r>
          </w:p>
        </w:tc>
        <w:tc>
          <w:tcPr>
            <w:tcW w:w="4554" w:type="dxa"/>
            <w:shd w:val="clear" w:color="auto" w:fill="FFFFFF"/>
            <w:noWrap w:val="0"/>
            <w:vAlign w:val="center"/>
          </w:tcPr>
          <w:p>
            <w:pPr>
              <w:widowControl/>
              <w:spacing w:before="100" w:beforeAutospacing="1" w:after="100" w:afterAutospacing="1" w:line="285"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rPr>
              <w:t>按照省财厅、省人社厅要求，填报资产统计</w:t>
            </w:r>
            <w:r>
              <w:rPr>
                <w:rFonts w:hint="eastAsia" w:ascii="宋体" w:hAnsi="宋体" w:cs="宋体"/>
                <w:color w:val="auto"/>
                <w:kern w:val="0"/>
                <w:szCs w:val="21"/>
                <w:highlight w:val="none"/>
                <w:lang w:eastAsia="zh-CN"/>
              </w:rPr>
              <w:t>月</w:t>
            </w:r>
            <w:r>
              <w:rPr>
                <w:rFonts w:hint="eastAsia" w:ascii="宋体" w:hAnsi="宋体" w:cs="宋体"/>
                <w:color w:val="auto"/>
                <w:kern w:val="0"/>
                <w:szCs w:val="21"/>
                <w:highlight w:val="none"/>
              </w:rPr>
              <w:t>报</w:t>
            </w:r>
            <w:r>
              <w:rPr>
                <w:rFonts w:hint="eastAsia" w:ascii="宋体" w:hAnsi="宋体" w:cs="宋体"/>
                <w:color w:val="auto"/>
                <w:kern w:val="0"/>
                <w:szCs w:val="21"/>
                <w:highlight w:val="none"/>
                <w:lang w:eastAsia="zh-CN"/>
              </w:rPr>
              <w:t>及年报</w:t>
            </w:r>
            <w:r>
              <w:rPr>
                <w:rFonts w:hint="eastAsia" w:ascii="宋体" w:hAnsi="宋体" w:cs="宋体"/>
                <w:color w:val="auto"/>
                <w:kern w:val="0"/>
                <w:szCs w:val="21"/>
                <w:highlight w:val="none"/>
              </w:rPr>
              <w:t>。</w:t>
            </w:r>
          </w:p>
        </w:tc>
        <w:tc>
          <w:tcPr>
            <w:tcW w:w="2283" w:type="dxa"/>
            <w:shd w:val="clear" w:color="auto" w:fill="FFFFFF"/>
            <w:noWrap w:val="0"/>
            <w:vAlign w:val="top"/>
          </w:tcPr>
          <w:p>
            <w:pPr>
              <w:jc w:val="cente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637" w:hRule="atLeast"/>
          <w:tblCellSpacing w:w="7" w:type="dxa"/>
          <w:jc w:val="center"/>
        </w:trPr>
        <w:tc>
          <w:tcPr>
            <w:tcW w:w="837" w:type="dxa"/>
            <w:shd w:val="clear" w:color="auto" w:fill="FFFFFF"/>
            <w:noWrap w:val="0"/>
            <w:vAlign w:val="center"/>
          </w:tcPr>
          <w:p>
            <w:pPr>
              <w:widowControl/>
              <w:spacing w:before="100" w:beforeAutospacing="1" w:after="100" w:afterAutospacing="1" w:line="285"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1936" w:type="dxa"/>
            <w:shd w:val="clear" w:color="auto" w:fill="FFFFFF"/>
            <w:noWrap w:val="0"/>
            <w:vAlign w:val="center"/>
          </w:tcPr>
          <w:p>
            <w:pPr>
              <w:widowControl/>
              <w:spacing w:before="100" w:beforeAutospacing="1" w:after="100" w:afterAutospacing="1" w:line="285" w:lineRule="atLeast"/>
              <w:jc w:val="center"/>
              <w:rPr>
                <w:rFonts w:hint="default" w:ascii="宋体" w:hAnsi="宋体" w:cs="宋体"/>
                <w:color w:val="auto"/>
                <w:kern w:val="0"/>
                <w:szCs w:val="21"/>
                <w:highlight w:val="none"/>
                <w:lang w:val="en-US"/>
              </w:rPr>
            </w:pPr>
            <w:r>
              <w:rPr>
                <w:rFonts w:hint="eastAsia" w:ascii="宋体" w:hAnsi="宋体" w:cs="宋体"/>
                <w:color w:val="auto"/>
                <w:kern w:val="0"/>
                <w:szCs w:val="21"/>
                <w:highlight w:val="none"/>
                <w:lang w:val="en-US" w:eastAsia="zh-CN"/>
              </w:rPr>
              <w:t>年度固定资产计提折旧</w:t>
            </w:r>
          </w:p>
        </w:tc>
        <w:tc>
          <w:tcPr>
            <w:tcW w:w="4554" w:type="dxa"/>
            <w:shd w:val="clear" w:color="auto" w:fill="FFFFFF"/>
            <w:noWrap w:val="0"/>
            <w:vAlign w:val="center"/>
          </w:tcPr>
          <w:p>
            <w:pPr>
              <w:widowControl/>
              <w:spacing w:before="100" w:beforeAutospacing="1" w:after="100" w:afterAutospacing="1" w:line="285" w:lineRule="atLeas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eastAsia="zh-CN"/>
              </w:rPr>
              <w:t>在省财厅行政事业单位资产系统中对</w:t>
            </w:r>
            <w:r>
              <w:rPr>
                <w:rFonts w:hint="eastAsia" w:ascii="宋体" w:hAnsi="宋体" w:cs="宋体"/>
                <w:color w:val="auto"/>
                <w:kern w:val="0"/>
                <w:szCs w:val="21"/>
                <w:highlight w:val="none"/>
                <w:lang w:val="en-US" w:eastAsia="zh-CN"/>
              </w:rPr>
              <w:t>年度固定资产计提折旧。</w:t>
            </w:r>
          </w:p>
        </w:tc>
        <w:tc>
          <w:tcPr>
            <w:tcW w:w="2283" w:type="dxa"/>
            <w:shd w:val="clear" w:color="auto" w:fill="FFFFFF"/>
            <w:noWrap w:val="0"/>
            <w:vAlign w:val="top"/>
          </w:tcPr>
          <w:p>
            <w:pPr>
              <w:rPr>
                <w:rFonts w:hint="eastAsia"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736" w:hRule="atLeast"/>
          <w:tblCellSpacing w:w="7" w:type="dxa"/>
          <w:jc w:val="center"/>
        </w:trPr>
        <w:tc>
          <w:tcPr>
            <w:tcW w:w="837" w:type="dxa"/>
            <w:shd w:val="clear" w:color="auto" w:fill="FFFFFF"/>
            <w:noWrap w:val="0"/>
            <w:vAlign w:val="center"/>
          </w:tcPr>
          <w:p>
            <w:pPr>
              <w:widowControl/>
              <w:spacing w:before="100" w:beforeAutospacing="1" w:after="100" w:afterAutospacing="1" w:line="285"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1936" w:type="dxa"/>
            <w:shd w:val="clear" w:color="auto" w:fill="FFFFFF"/>
            <w:noWrap w:val="0"/>
            <w:vAlign w:val="center"/>
          </w:tcPr>
          <w:p>
            <w:pPr>
              <w:widowControl/>
              <w:spacing w:before="100" w:beforeAutospacing="1" w:after="100" w:afterAutospacing="1" w:line="285"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rPr>
              <w:t>不定期的固定资产盘点</w:t>
            </w:r>
          </w:p>
        </w:tc>
        <w:tc>
          <w:tcPr>
            <w:tcW w:w="4554" w:type="dxa"/>
            <w:shd w:val="clear" w:color="auto" w:fill="FFFFFF"/>
            <w:noWrap w:val="0"/>
            <w:vAlign w:val="center"/>
          </w:tcPr>
          <w:p>
            <w:pPr>
              <w:widowControl/>
              <w:spacing w:before="100" w:beforeAutospacing="1" w:after="100" w:afterAutospacing="1" w:line="285" w:lineRule="atLeas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每年</w:t>
            </w:r>
            <w:r>
              <w:rPr>
                <w:rFonts w:hint="eastAsia" w:ascii="宋体" w:hAnsi="宋体" w:cs="宋体"/>
                <w:color w:val="auto"/>
                <w:kern w:val="0"/>
                <w:szCs w:val="21"/>
                <w:highlight w:val="none"/>
              </w:rPr>
              <w:t>资产进行分类盘点</w:t>
            </w:r>
            <w:r>
              <w:rPr>
                <w:rFonts w:hint="eastAsia" w:ascii="宋体" w:hAnsi="宋体" w:cs="宋体"/>
                <w:color w:val="auto"/>
                <w:kern w:val="0"/>
                <w:szCs w:val="21"/>
                <w:highlight w:val="none"/>
                <w:lang w:eastAsia="zh-CN"/>
              </w:rPr>
              <w:t>，并出具盘点报告</w:t>
            </w:r>
            <w:r>
              <w:rPr>
                <w:rFonts w:hint="eastAsia" w:ascii="宋体" w:hAnsi="宋体" w:cs="宋体"/>
                <w:color w:val="auto"/>
                <w:kern w:val="0"/>
                <w:szCs w:val="21"/>
                <w:highlight w:val="none"/>
              </w:rPr>
              <w:t>。</w:t>
            </w:r>
          </w:p>
        </w:tc>
        <w:tc>
          <w:tcPr>
            <w:tcW w:w="2283" w:type="dxa"/>
            <w:shd w:val="clear" w:color="auto" w:fill="FFFFFF"/>
            <w:noWrap w:val="0"/>
            <w:vAlign w:val="top"/>
          </w:tcPr>
          <w:p>
            <w:pPr>
              <w:rPr>
                <w:rFonts w:hint="eastAsia" w:ascii="宋体" w:hAnsi="宋体" w:cs="宋体"/>
                <w:color w:val="auto"/>
                <w:kern w:val="0"/>
                <w:szCs w:val="21"/>
                <w:highlight w:val="none"/>
              </w:rPr>
            </w:pPr>
          </w:p>
        </w:tc>
      </w:tr>
    </w:tbl>
    <w:p>
      <w:pPr>
        <w:ind w:firstLine="5120" w:firstLineChars="1600"/>
        <w:rPr>
          <w:rFonts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83"/>
    <w:rsid w:val="00005F10"/>
    <w:rsid w:val="000130D5"/>
    <w:rsid w:val="00024FC8"/>
    <w:rsid w:val="0002557B"/>
    <w:rsid w:val="000256F5"/>
    <w:rsid w:val="00031BDC"/>
    <w:rsid w:val="000446F7"/>
    <w:rsid w:val="00053A0C"/>
    <w:rsid w:val="00061EBC"/>
    <w:rsid w:val="000701F0"/>
    <w:rsid w:val="00082FEF"/>
    <w:rsid w:val="000B4613"/>
    <w:rsid w:val="000B64EF"/>
    <w:rsid w:val="000B71BF"/>
    <w:rsid w:val="000C24F0"/>
    <w:rsid w:val="000F3A14"/>
    <w:rsid w:val="00101F25"/>
    <w:rsid w:val="00115115"/>
    <w:rsid w:val="00122466"/>
    <w:rsid w:val="001232B7"/>
    <w:rsid w:val="00131247"/>
    <w:rsid w:val="00131675"/>
    <w:rsid w:val="00132C5F"/>
    <w:rsid w:val="00135C9A"/>
    <w:rsid w:val="00135D05"/>
    <w:rsid w:val="00143808"/>
    <w:rsid w:val="001502C5"/>
    <w:rsid w:val="00156D13"/>
    <w:rsid w:val="00164060"/>
    <w:rsid w:val="00174C43"/>
    <w:rsid w:val="001755FB"/>
    <w:rsid w:val="00175BCB"/>
    <w:rsid w:val="00181061"/>
    <w:rsid w:val="0018606C"/>
    <w:rsid w:val="00191F8E"/>
    <w:rsid w:val="001A3B98"/>
    <w:rsid w:val="001B5414"/>
    <w:rsid w:val="001C37FC"/>
    <w:rsid w:val="001C4261"/>
    <w:rsid w:val="001D1C4E"/>
    <w:rsid w:val="001D342A"/>
    <w:rsid w:val="001D7F2D"/>
    <w:rsid w:val="00212675"/>
    <w:rsid w:val="00216FA0"/>
    <w:rsid w:val="00236021"/>
    <w:rsid w:val="00242857"/>
    <w:rsid w:val="00244CA1"/>
    <w:rsid w:val="00245935"/>
    <w:rsid w:val="0025145C"/>
    <w:rsid w:val="0025419F"/>
    <w:rsid w:val="00271756"/>
    <w:rsid w:val="002767AB"/>
    <w:rsid w:val="002769AA"/>
    <w:rsid w:val="002769BE"/>
    <w:rsid w:val="00281767"/>
    <w:rsid w:val="0029020C"/>
    <w:rsid w:val="00290937"/>
    <w:rsid w:val="002A0212"/>
    <w:rsid w:val="002A61D3"/>
    <w:rsid w:val="002D4FEF"/>
    <w:rsid w:val="00313304"/>
    <w:rsid w:val="003239B7"/>
    <w:rsid w:val="00333369"/>
    <w:rsid w:val="003357CE"/>
    <w:rsid w:val="003359F4"/>
    <w:rsid w:val="0035499C"/>
    <w:rsid w:val="00355810"/>
    <w:rsid w:val="00360788"/>
    <w:rsid w:val="00375359"/>
    <w:rsid w:val="00380C66"/>
    <w:rsid w:val="003935D9"/>
    <w:rsid w:val="00396259"/>
    <w:rsid w:val="00396979"/>
    <w:rsid w:val="003A6446"/>
    <w:rsid w:val="003B6350"/>
    <w:rsid w:val="003B6C80"/>
    <w:rsid w:val="003D0A0C"/>
    <w:rsid w:val="003D61EB"/>
    <w:rsid w:val="003D6F46"/>
    <w:rsid w:val="003E2B48"/>
    <w:rsid w:val="003F1230"/>
    <w:rsid w:val="003F43D0"/>
    <w:rsid w:val="004118E5"/>
    <w:rsid w:val="00420F16"/>
    <w:rsid w:val="004417FA"/>
    <w:rsid w:val="00460780"/>
    <w:rsid w:val="00465DA3"/>
    <w:rsid w:val="00465E1D"/>
    <w:rsid w:val="004802CD"/>
    <w:rsid w:val="004836E0"/>
    <w:rsid w:val="00483FD5"/>
    <w:rsid w:val="0048682C"/>
    <w:rsid w:val="004A04E1"/>
    <w:rsid w:val="004C367D"/>
    <w:rsid w:val="004C5205"/>
    <w:rsid w:val="004C791F"/>
    <w:rsid w:val="004D1331"/>
    <w:rsid w:val="004F57F2"/>
    <w:rsid w:val="005006A7"/>
    <w:rsid w:val="005032E1"/>
    <w:rsid w:val="00511EB9"/>
    <w:rsid w:val="00514216"/>
    <w:rsid w:val="00523305"/>
    <w:rsid w:val="00530BFE"/>
    <w:rsid w:val="00540CE7"/>
    <w:rsid w:val="0054454A"/>
    <w:rsid w:val="0055264A"/>
    <w:rsid w:val="00560EF2"/>
    <w:rsid w:val="00573AFE"/>
    <w:rsid w:val="00577AAF"/>
    <w:rsid w:val="00587FBB"/>
    <w:rsid w:val="005962C9"/>
    <w:rsid w:val="005B4DB6"/>
    <w:rsid w:val="005C1556"/>
    <w:rsid w:val="005C1A21"/>
    <w:rsid w:val="005D278A"/>
    <w:rsid w:val="005D5744"/>
    <w:rsid w:val="005D636D"/>
    <w:rsid w:val="005F2299"/>
    <w:rsid w:val="005F5E37"/>
    <w:rsid w:val="006042AF"/>
    <w:rsid w:val="006044DA"/>
    <w:rsid w:val="00607955"/>
    <w:rsid w:val="006135BD"/>
    <w:rsid w:val="00640BAC"/>
    <w:rsid w:val="006462DF"/>
    <w:rsid w:val="0065478D"/>
    <w:rsid w:val="00662838"/>
    <w:rsid w:val="00696677"/>
    <w:rsid w:val="006A17C1"/>
    <w:rsid w:val="006B30A5"/>
    <w:rsid w:val="006C3311"/>
    <w:rsid w:val="006D17D1"/>
    <w:rsid w:val="006D2EA2"/>
    <w:rsid w:val="006F1CD5"/>
    <w:rsid w:val="00702932"/>
    <w:rsid w:val="00704DEC"/>
    <w:rsid w:val="00707AD0"/>
    <w:rsid w:val="007119CD"/>
    <w:rsid w:val="00722468"/>
    <w:rsid w:val="00723F4E"/>
    <w:rsid w:val="007262F8"/>
    <w:rsid w:val="007403AD"/>
    <w:rsid w:val="007518D1"/>
    <w:rsid w:val="007632A1"/>
    <w:rsid w:val="007679F1"/>
    <w:rsid w:val="00767C89"/>
    <w:rsid w:val="00781858"/>
    <w:rsid w:val="00783AB1"/>
    <w:rsid w:val="00796540"/>
    <w:rsid w:val="007A7ABC"/>
    <w:rsid w:val="007B0BF0"/>
    <w:rsid w:val="007B2E50"/>
    <w:rsid w:val="007B2E81"/>
    <w:rsid w:val="007B62C8"/>
    <w:rsid w:val="007B7E59"/>
    <w:rsid w:val="007C5371"/>
    <w:rsid w:val="007E260C"/>
    <w:rsid w:val="007F46E0"/>
    <w:rsid w:val="007F4A30"/>
    <w:rsid w:val="00805CD3"/>
    <w:rsid w:val="00807A25"/>
    <w:rsid w:val="00813866"/>
    <w:rsid w:val="00820BAD"/>
    <w:rsid w:val="008225CD"/>
    <w:rsid w:val="008557D0"/>
    <w:rsid w:val="008620B4"/>
    <w:rsid w:val="0087711B"/>
    <w:rsid w:val="00877A8D"/>
    <w:rsid w:val="00882B0B"/>
    <w:rsid w:val="00883175"/>
    <w:rsid w:val="00893D48"/>
    <w:rsid w:val="008A6D7D"/>
    <w:rsid w:val="008B3B37"/>
    <w:rsid w:val="008E5FA4"/>
    <w:rsid w:val="008F70DB"/>
    <w:rsid w:val="008F7C55"/>
    <w:rsid w:val="00901EF6"/>
    <w:rsid w:val="0090305C"/>
    <w:rsid w:val="00911E93"/>
    <w:rsid w:val="0092280C"/>
    <w:rsid w:val="00923094"/>
    <w:rsid w:val="0093014A"/>
    <w:rsid w:val="0094069D"/>
    <w:rsid w:val="00946C24"/>
    <w:rsid w:val="00952A45"/>
    <w:rsid w:val="0095665B"/>
    <w:rsid w:val="00965E90"/>
    <w:rsid w:val="0098218F"/>
    <w:rsid w:val="009854EF"/>
    <w:rsid w:val="009858A5"/>
    <w:rsid w:val="00996B00"/>
    <w:rsid w:val="009A2871"/>
    <w:rsid w:val="009A552A"/>
    <w:rsid w:val="009B2276"/>
    <w:rsid w:val="009B2350"/>
    <w:rsid w:val="009C481A"/>
    <w:rsid w:val="009C6CED"/>
    <w:rsid w:val="009D111D"/>
    <w:rsid w:val="009E021C"/>
    <w:rsid w:val="009E1619"/>
    <w:rsid w:val="00A034D3"/>
    <w:rsid w:val="00A05B54"/>
    <w:rsid w:val="00A16D75"/>
    <w:rsid w:val="00A1752E"/>
    <w:rsid w:val="00A22862"/>
    <w:rsid w:val="00A23C5C"/>
    <w:rsid w:val="00A5727D"/>
    <w:rsid w:val="00A713A2"/>
    <w:rsid w:val="00A72A01"/>
    <w:rsid w:val="00A77F20"/>
    <w:rsid w:val="00A906F3"/>
    <w:rsid w:val="00A94999"/>
    <w:rsid w:val="00AA0BAF"/>
    <w:rsid w:val="00AA63B1"/>
    <w:rsid w:val="00AB42DA"/>
    <w:rsid w:val="00AB6512"/>
    <w:rsid w:val="00AE1119"/>
    <w:rsid w:val="00AF3376"/>
    <w:rsid w:val="00B1056D"/>
    <w:rsid w:val="00B11613"/>
    <w:rsid w:val="00B122DF"/>
    <w:rsid w:val="00B13BEA"/>
    <w:rsid w:val="00B1430C"/>
    <w:rsid w:val="00B27111"/>
    <w:rsid w:val="00B30456"/>
    <w:rsid w:val="00B30B57"/>
    <w:rsid w:val="00B3237D"/>
    <w:rsid w:val="00B3418D"/>
    <w:rsid w:val="00B34470"/>
    <w:rsid w:val="00B47329"/>
    <w:rsid w:val="00B81186"/>
    <w:rsid w:val="00BC19CD"/>
    <w:rsid w:val="00BC563A"/>
    <w:rsid w:val="00BC6791"/>
    <w:rsid w:val="00BC7B6C"/>
    <w:rsid w:val="00BD39A9"/>
    <w:rsid w:val="00BF1D02"/>
    <w:rsid w:val="00C03BA9"/>
    <w:rsid w:val="00C13B98"/>
    <w:rsid w:val="00C15A13"/>
    <w:rsid w:val="00C2192F"/>
    <w:rsid w:val="00C33B79"/>
    <w:rsid w:val="00C36E5C"/>
    <w:rsid w:val="00C37155"/>
    <w:rsid w:val="00C51E63"/>
    <w:rsid w:val="00C577B5"/>
    <w:rsid w:val="00C66CD4"/>
    <w:rsid w:val="00C86CD4"/>
    <w:rsid w:val="00CA7E8A"/>
    <w:rsid w:val="00CB2564"/>
    <w:rsid w:val="00CB70D0"/>
    <w:rsid w:val="00CD3D21"/>
    <w:rsid w:val="00CE3E60"/>
    <w:rsid w:val="00D0071C"/>
    <w:rsid w:val="00D00B2F"/>
    <w:rsid w:val="00D12139"/>
    <w:rsid w:val="00D23991"/>
    <w:rsid w:val="00D262F5"/>
    <w:rsid w:val="00D375A2"/>
    <w:rsid w:val="00D45556"/>
    <w:rsid w:val="00D510C9"/>
    <w:rsid w:val="00D82217"/>
    <w:rsid w:val="00D95632"/>
    <w:rsid w:val="00D977A4"/>
    <w:rsid w:val="00DC4D3E"/>
    <w:rsid w:val="00DC7CA2"/>
    <w:rsid w:val="00DD056C"/>
    <w:rsid w:val="00DD4756"/>
    <w:rsid w:val="00DD5074"/>
    <w:rsid w:val="00DE6211"/>
    <w:rsid w:val="00DF3498"/>
    <w:rsid w:val="00E02B33"/>
    <w:rsid w:val="00E04018"/>
    <w:rsid w:val="00E04B38"/>
    <w:rsid w:val="00E10298"/>
    <w:rsid w:val="00E272EF"/>
    <w:rsid w:val="00E32B15"/>
    <w:rsid w:val="00E34F83"/>
    <w:rsid w:val="00E42B68"/>
    <w:rsid w:val="00E72C57"/>
    <w:rsid w:val="00E81D40"/>
    <w:rsid w:val="00EB136E"/>
    <w:rsid w:val="00EC0D21"/>
    <w:rsid w:val="00EC4F9D"/>
    <w:rsid w:val="00ED21BB"/>
    <w:rsid w:val="00ED3934"/>
    <w:rsid w:val="00ED70A3"/>
    <w:rsid w:val="00EF1070"/>
    <w:rsid w:val="00EF4F0E"/>
    <w:rsid w:val="00F013DB"/>
    <w:rsid w:val="00F143B3"/>
    <w:rsid w:val="00F25ADA"/>
    <w:rsid w:val="00F27BC9"/>
    <w:rsid w:val="00F41CD2"/>
    <w:rsid w:val="00F560C5"/>
    <w:rsid w:val="00F73D8A"/>
    <w:rsid w:val="00F75E91"/>
    <w:rsid w:val="00F871F7"/>
    <w:rsid w:val="00F87495"/>
    <w:rsid w:val="00FB0CE9"/>
    <w:rsid w:val="00FB2A3F"/>
    <w:rsid w:val="00FB5809"/>
    <w:rsid w:val="00FE590A"/>
    <w:rsid w:val="00FF0BDF"/>
    <w:rsid w:val="029C366B"/>
    <w:rsid w:val="02FF6935"/>
    <w:rsid w:val="034B794C"/>
    <w:rsid w:val="0EB90AD2"/>
    <w:rsid w:val="0F2638BB"/>
    <w:rsid w:val="11341314"/>
    <w:rsid w:val="193C3B09"/>
    <w:rsid w:val="1B9309C8"/>
    <w:rsid w:val="1C510DF3"/>
    <w:rsid w:val="1E932D66"/>
    <w:rsid w:val="23283C65"/>
    <w:rsid w:val="24871345"/>
    <w:rsid w:val="2C760073"/>
    <w:rsid w:val="2E06666B"/>
    <w:rsid w:val="31BC528E"/>
    <w:rsid w:val="32286AF4"/>
    <w:rsid w:val="34073A92"/>
    <w:rsid w:val="349D16BB"/>
    <w:rsid w:val="3627287E"/>
    <w:rsid w:val="3A326D59"/>
    <w:rsid w:val="40E1084B"/>
    <w:rsid w:val="41BF2EF6"/>
    <w:rsid w:val="42792EAC"/>
    <w:rsid w:val="434619CF"/>
    <w:rsid w:val="434F0B25"/>
    <w:rsid w:val="43792E2B"/>
    <w:rsid w:val="44A17EB8"/>
    <w:rsid w:val="487F19A5"/>
    <w:rsid w:val="48861F18"/>
    <w:rsid w:val="496D0B20"/>
    <w:rsid w:val="53B208D6"/>
    <w:rsid w:val="54B229EA"/>
    <w:rsid w:val="55D65D59"/>
    <w:rsid w:val="57263055"/>
    <w:rsid w:val="59F06A45"/>
    <w:rsid w:val="65A15751"/>
    <w:rsid w:val="6A9D2F2D"/>
    <w:rsid w:val="6C534055"/>
    <w:rsid w:val="6DAB01DE"/>
    <w:rsid w:val="735C200F"/>
    <w:rsid w:val="73FB3499"/>
    <w:rsid w:val="78814F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7">
    <w:name w:val="正文文本缩进 New"/>
    <w:basedOn w:val="6"/>
    <w:uiPriority w:val="0"/>
    <w:pPr>
      <w:spacing w:line="580" w:lineRule="atLeast"/>
      <w:ind w:firstLine="615"/>
    </w:pPr>
    <w:rPr>
      <w:sz w:val="30"/>
      <w:szCs w:val="20"/>
    </w:rPr>
  </w:style>
  <w:style w:type="paragraph" w:customStyle="1" w:styleId="8">
    <w:name w:val="正文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9">
    <w:name w:val="页脚 Char"/>
    <w:basedOn w:val="5"/>
    <w:link w:val="2"/>
    <w:qFormat/>
    <w:uiPriority w:val="0"/>
    <w:rPr>
      <w:kern w:val="2"/>
      <w:sz w:val="18"/>
      <w:szCs w:val="18"/>
    </w:rPr>
  </w:style>
  <w:style w:type="character" w:customStyle="1" w:styleId="10">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93</Words>
  <Characters>534</Characters>
  <Lines>4</Lines>
  <Paragraphs>1</Paragraphs>
  <TotalTime>21</TotalTime>
  <ScaleCrop>false</ScaleCrop>
  <LinksUpToDate>false</LinksUpToDate>
  <CharactersWithSpaces>626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2020-06-18T05:00:00Z</dcterms:created>
  <dc:creator>dell</dc:creator>
  <cp:lastModifiedBy>Dell</cp:lastModifiedBy>
  <cp:lastPrinted>2022-05-17T02:38:00Z</cp:lastPrinted>
  <dcterms:modified xsi:type="dcterms:W3CDTF">2022-05-19T08:30:32Z</dcterms:modified>
  <dc:title>附件1：</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